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A5" w:rsidRDefault="001556A5" w:rsidP="001556A5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Нововеличковского сельского поселения Динского района </w:t>
      </w:r>
    </w:p>
    <w:p w:rsidR="001556A5" w:rsidRDefault="007B669A" w:rsidP="001556A5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1556A5" w:rsidRDefault="001556A5" w:rsidP="001556A5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</w:p>
    <w:p w:rsidR="001556A5" w:rsidRDefault="001556A5" w:rsidP="001556A5">
      <w:pPr>
        <w:spacing w:after="0" w:line="100" w:lineRule="atLeas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D17FA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финансов и муниципальных закупок администрации Нововеличковского сельского поселения Динского района</w:t>
      </w:r>
    </w:p>
    <w:p w:rsidR="001556A5" w:rsidRDefault="001556A5" w:rsidP="001556A5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</w:p>
    <w:p w:rsidR="001556A5" w:rsidRDefault="001556A5" w:rsidP="001556A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1556A5" w:rsidRDefault="001556A5" w:rsidP="001556A5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 муниципальной программы </w:t>
      </w:r>
    </w:p>
    <w:p w:rsidR="005E2439" w:rsidRDefault="001556A5" w:rsidP="001556A5">
      <w:pPr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Управление муниципальным имуществом на территории </w:t>
      </w:r>
    </w:p>
    <w:p w:rsidR="001556A5" w:rsidRDefault="001556A5" w:rsidP="001556A5">
      <w:pPr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Нововеличковского сельского поселения </w:t>
      </w:r>
      <w:r w:rsidR="00600288">
        <w:rPr>
          <w:rFonts w:ascii="Times New Roman" w:hAnsi="Times New Roman"/>
          <w:bCs/>
          <w:sz w:val="28"/>
          <w:szCs w:val="28"/>
        </w:rPr>
        <w:t>в составе муниципального образования Динской район на 202</w:t>
      </w:r>
      <w:r w:rsidR="005E2439">
        <w:rPr>
          <w:rFonts w:ascii="Times New Roman" w:hAnsi="Times New Roman"/>
          <w:bCs/>
          <w:sz w:val="28"/>
          <w:szCs w:val="28"/>
        </w:rPr>
        <w:t>1</w:t>
      </w:r>
      <w:r w:rsidR="0060028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57C13" w:rsidRPr="004071FC" w:rsidRDefault="00D57C13" w:rsidP="004071FC">
      <w:p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71FC" w:rsidRDefault="004071FC" w:rsidP="009E2689">
      <w:pPr>
        <w:tabs>
          <w:tab w:val="left" w:pos="142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>
        <w:rPr>
          <w:rFonts w:ascii="Times New Roman" w:hAnsi="Times New Roman"/>
          <w:bCs/>
          <w:sz w:val="28"/>
          <w:szCs w:val="28"/>
        </w:rPr>
        <w:t xml:space="preserve">Управление муниципальным имуществом на территории Нововеличковского сельского поселения </w:t>
      </w:r>
      <w:r w:rsidR="00AE55A4" w:rsidRPr="00AE55A4">
        <w:rPr>
          <w:rFonts w:ascii="Times New Roman" w:hAnsi="Times New Roman"/>
          <w:bCs/>
          <w:sz w:val="28"/>
          <w:szCs w:val="28"/>
        </w:rPr>
        <w:t>в составе муниципального образования Динской район на 202</w:t>
      </w:r>
      <w:r w:rsidR="005E2439">
        <w:rPr>
          <w:rFonts w:ascii="Times New Roman" w:hAnsi="Times New Roman"/>
          <w:bCs/>
          <w:sz w:val="28"/>
          <w:szCs w:val="28"/>
        </w:rPr>
        <w:t>1</w:t>
      </w:r>
      <w:r w:rsidR="00AE55A4" w:rsidRPr="00AE55A4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утвержденная постановлением администрации Нововеличковского сельского поселения Динского района</w:t>
      </w:r>
      <w:r w:rsidR="005E243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E2439"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E243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.1</w:t>
      </w:r>
      <w:r w:rsidR="00AE55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5E2439">
        <w:rPr>
          <w:rFonts w:ascii="Times New Roman" w:hAnsi="Times New Roman"/>
          <w:sz w:val="28"/>
          <w:szCs w:val="28"/>
        </w:rPr>
        <w:t>20</w:t>
      </w:r>
      <w:r w:rsidR="00E04367">
        <w:rPr>
          <w:rFonts w:ascii="Times New Roman" w:hAnsi="Times New Roman"/>
          <w:sz w:val="28"/>
          <w:szCs w:val="28"/>
        </w:rPr>
        <w:t xml:space="preserve"> в 20</w:t>
      </w:r>
      <w:r w:rsidR="005E2439">
        <w:rPr>
          <w:rFonts w:ascii="Times New Roman" w:hAnsi="Times New Roman"/>
          <w:sz w:val="28"/>
          <w:szCs w:val="28"/>
        </w:rPr>
        <w:t>21</w:t>
      </w:r>
      <w:r w:rsidR="00E0436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выполнена в сумме </w:t>
      </w:r>
      <w:r w:rsidR="005E2439">
        <w:rPr>
          <w:rFonts w:ascii="Times New Roman" w:hAnsi="Times New Roman"/>
          <w:sz w:val="28"/>
          <w:szCs w:val="28"/>
        </w:rPr>
        <w:t>5</w:t>
      </w:r>
      <w:r w:rsidR="00AE55A4">
        <w:rPr>
          <w:rFonts w:ascii="Times New Roman" w:hAnsi="Times New Roman"/>
          <w:sz w:val="28"/>
          <w:szCs w:val="28"/>
        </w:rPr>
        <w:t>85</w:t>
      </w:r>
      <w:r w:rsidR="00E512E8">
        <w:rPr>
          <w:rFonts w:ascii="Times New Roman" w:hAnsi="Times New Roman"/>
          <w:sz w:val="28"/>
          <w:szCs w:val="28"/>
        </w:rPr>
        <w:t>,</w:t>
      </w:r>
      <w:r w:rsidR="005E24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руб. В том числе </w:t>
      </w:r>
      <w:proofErr w:type="gramStart"/>
      <w:r>
        <w:rPr>
          <w:rFonts w:ascii="Times New Roman" w:hAnsi="Times New Roman"/>
          <w:sz w:val="28"/>
          <w:szCs w:val="28"/>
        </w:rPr>
        <w:t>по основному мероприятию № 1 «Проведение работ по изготовлению технической</w:t>
      </w:r>
      <w:r w:rsidR="00AE55A4">
        <w:rPr>
          <w:rFonts w:ascii="Times New Roman" w:hAnsi="Times New Roman"/>
          <w:sz w:val="28"/>
          <w:szCs w:val="28"/>
        </w:rPr>
        <w:t>, проектной</w:t>
      </w:r>
      <w:r>
        <w:rPr>
          <w:rFonts w:ascii="Times New Roman" w:hAnsi="Times New Roman"/>
          <w:sz w:val="28"/>
          <w:szCs w:val="28"/>
        </w:rPr>
        <w:t xml:space="preserve"> документации на объекты муниципального имущества, по подготовке оценки рыночной стоимости муниципального имущества и земельных участков для проведения торгов</w:t>
      </w:r>
      <w:r w:rsidR="00AE55A4">
        <w:rPr>
          <w:rFonts w:ascii="Times New Roman" w:hAnsi="Times New Roman"/>
          <w:sz w:val="28"/>
          <w:szCs w:val="28"/>
        </w:rPr>
        <w:t>, страхование объектов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» - на </w:t>
      </w:r>
      <w:r w:rsidR="005E2439">
        <w:rPr>
          <w:rFonts w:ascii="Times New Roman" w:hAnsi="Times New Roman"/>
          <w:sz w:val="28"/>
          <w:szCs w:val="28"/>
        </w:rPr>
        <w:t>441,2</w:t>
      </w:r>
      <w:r>
        <w:rPr>
          <w:rFonts w:ascii="Times New Roman" w:hAnsi="Times New Roman"/>
          <w:sz w:val="28"/>
          <w:szCs w:val="28"/>
        </w:rPr>
        <w:t xml:space="preserve"> тыс. руб. По основному мероприятию № 2 «</w:t>
      </w:r>
      <w:r w:rsidR="00AE55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роведение работ по</w:t>
      </w:r>
      <w:r w:rsidR="00AE55A4">
        <w:rPr>
          <w:rFonts w:ascii="Times New Roman" w:hAnsi="Times New Roman"/>
          <w:sz w:val="28"/>
          <w:szCs w:val="28"/>
        </w:rPr>
        <w:t xml:space="preserve"> подготовке топосъемки,</w:t>
      </w:r>
      <w:r>
        <w:rPr>
          <w:rFonts w:ascii="Times New Roman" w:hAnsi="Times New Roman"/>
          <w:sz w:val="28"/>
          <w:szCs w:val="28"/>
        </w:rPr>
        <w:t xml:space="preserve"> формированию и постановке на кадастровый учет земельных участков» - </w:t>
      </w:r>
      <w:r w:rsidR="005E2439">
        <w:rPr>
          <w:rFonts w:ascii="Times New Roman" w:hAnsi="Times New Roman"/>
          <w:sz w:val="28"/>
          <w:szCs w:val="28"/>
        </w:rPr>
        <w:t>144,1</w:t>
      </w:r>
      <w:r>
        <w:rPr>
          <w:rFonts w:ascii="Times New Roman" w:hAnsi="Times New Roman"/>
          <w:sz w:val="28"/>
          <w:szCs w:val="28"/>
        </w:rPr>
        <w:t xml:space="preserve"> тыс. руб. В рамках данных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была проведена топосъемка</w:t>
      </w:r>
      <w:r w:rsidR="00AE55A4" w:rsidRPr="00AE55A4">
        <w:rPr>
          <w:rFonts w:ascii="Times New Roman" w:hAnsi="Times New Roman"/>
          <w:sz w:val="28"/>
          <w:szCs w:val="28"/>
        </w:rPr>
        <w:t xml:space="preserve"> </w:t>
      </w:r>
      <w:r w:rsidR="00AE55A4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>, изготовление техническ</w:t>
      </w:r>
      <w:r w:rsidR="0043002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43002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0022">
        <w:rPr>
          <w:rFonts w:ascii="Times New Roman" w:hAnsi="Times New Roman"/>
          <w:sz w:val="28"/>
          <w:szCs w:val="28"/>
        </w:rPr>
        <w:t>объектов муниципального имущества</w:t>
      </w:r>
      <w:r>
        <w:rPr>
          <w:rFonts w:ascii="Times New Roman" w:hAnsi="Times New Roman"/>
          <w:sz w:val="28"/>
          <w:szCs w:val="28"/>
        </w:rPr>
        <w:t>. Финансирование муниципальной программы производилось за счет средств бюджета Нововеличковского сельского поселения Динского района, главным распорядителем которых является администрация Нововеличковского сельского поселения Динского района.</w:t>
      </w:r>
    </w:p>
    <w:p w:rsidR="004071FC" w:rsidRDefault="004071FC" w:rsidP="009E268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 на </w:t>
      </w:r>
      <w:r w:rsidR="0043002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4071FC" w:rsidRDefault="00411BC7" w:rsidP="009E268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071FC">
        <w:rPr>
          <w:rFonts w:ascii="Times New Roman" w:hAnsi="Times New Roman"/>
          <w:sz w:val="28"/>
          <w:szCs w:val="28"/>
        </w:rPr>
        <w:t>елевые показатели</w:t>
      </w:r>
      <w:r w:rsidR="009E2689">
        <w:rPr>
          <w:rFonts w:ascii="Times New Roman" w:hAnsi="Times New Roman"/>
          <w:sz w:val="28"/>
          <w:szCs w:val="28"/>
        </w:rPr>
        <w:t>,</w:t>
      </w:r>
      <w:r w:rsidR="004071FC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71FC">
        <w:rPr>
          <w:rFonts w:ascii="Times New Roman" w:hAnsi="Times New Roman"/>
          <w:sz w:val="28"/>
          <w:szCs w:val="28"/>
        </w:rPr>
        <w:t>достигнуты</w:t>
      </w:r>
      <w:r>
        <w:rPr>
          <w:rFonts w:ascii="Times New Roman" w:hAnsi="Times New Roman"/>
          <w:sz w:val="28"/>
          <w:szCs w:val="28"/>
        </w:rPr>
        <w:t>:</w:t>
      </w:r>
    </w:p>
    <w:p w:rsidR="004071FC" w:rsidRDefault="004071FC" w:rsidP="009E268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</w:t>
      </w:r>
      <w:r w:rsidR="00E512E8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, поставленных на кадастровый учет - </w:t>
      </w:r>
      <w:r w:rsidR="005E2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CB4AA9" w:rsidRDefault="004071FC" w:rsidP="00430022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объектов, прошедших государственную регистрацию права собственности НСП – </w:t>
      </w:r>
      <w:r w:rsidR="005E2439">
        <w:rPr>
          <w:rFonts w:ascii="Times New Roman" w:hAnsi="Times New Roman"/>
          <w:sz w:val="28"/>
          <w:szCs w:val="28"/>
        </w:rPr>
        <w:t>1</w:t>
      </w:r>
      <w:r w:rsidR="00CB4AA9">
        <w:rPr>
          <w:rFonts w:ascii="Times New Roman" w:hAnsi="Times New Roman"/>
          <w:sz w:val="28"/>
          <w:szCs w:val="28"/>
        </w:rPr>
        <w:t>;</w:t>
      </w:r>
    </w:p>
    <w:p w:rsidR="00CB4AA9" w:rsidRPr="00CB4AA9" w:rsidRDefault="00CB4AA9" w:rsidP="00CB4AA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4AA9">
        <w:rPr>
          <w:rFonts w:ascii="Times New Roman" w:hAnsi="Times New Roman"/>
          <w:sz w:val="28"/>
          <w:szCs w:val="28"/>
        </w:rPr>
        <w:t>Количество объектов предоставленных в аренду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CB4AA9" w:rsidRPr="00CB4AA9" w:rsidRDefault="00CB4AA9" w:rsidP="00CB4AA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4AA9">
        <w:rPr>
          <w:rFonts w:ascii="Times New Roman" w:hAnsi="Times New Roman"/>
          <w:sz w:val="28"/>
          <w:szCs w:val="28"/>
        </w:rPr>
        <w:t>Количество полученных экспертных заключений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CB4AA9" w:rsidRPr="00CB4AA9" w:rsidRDefault="00CB4AA9" w:rsidP="00CB4AA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4AA9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CB4AA9">
        <w:rPr>
          <w:rFonts w:ascii="Times New Roman" w:hAnsi="Times New Roman"/>
          <w:sz w:val="28"/>
          <w:szCs w:val="28"/>
        </w:rPr>
        <w:t>изготовленных</w:t>
      </w:r>
      <w:proofErr w:type="gramEnd"/>
      <w:r w:rsidRPr="00CB4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AA9">
        <w:rPr>
          <w:rFonts w:ascii="Times New Roman" w:hAnsi="Times New Roman"/>
          <w:sz w:val="28"/>
          <w:szCs w:val="28"/>
        </w:rPr>
        <w:t>топосьемок</w:t>
      </w:r>
      <w:proofErr w:type="spellEnd"/>
      <w:r w:rsidRPr="00CB4AA9">
        <w:rPr>
          <w:rFonts w:ascii="Times New Roman" w:hAnsi="Times New Roman"/>
          <w:sz w:val="28"/>
          <w:szCs w:val="28"/>
        </w:rPr>
        <w:t xml:space="preserve"> на земельный участок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CB4AA9" w:rsidRPr="00CB4AA9" w:rsidRDefault="00CB4AA9" w:rsidP="00CB4AA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4AA9">
        <w:rPr>
          <w:rFonts w:ascii="Times New Roman" w:hAnsi="Times New Roman"/>
          <w:sz w:val="28"/>
          <w:szCs w:val="28"/>
        </w:rPr>
        <w:t>Установление (вынос) границ земельного участка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4071FC" w:rsidRDefault="00CB4AA9" w:rsidP="00CB4AA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4AA9">
        <w:rPr>
          <w:rFonts w:ascii="Times New Roman" w:hAnsi="Times New Roman"/>
          <w:sz w:val="28"/>
          <w:szCs w:val="28"/>
        </w:rPr>
        <w:t>Подготовлено заключений о тех. состоянии объектов</w:t>
      </w:r>
      <w:r>
        <w:rPr>
          <w:rFonts w:ascii="Times New Roman" w:hAnsi="Times New Roman"/>
          <w:sz w:val="28"/>
          <w:szCs w:val="28"/>
        </w:rPr>
        <w:t xml:space="preserve"> - 1</w:t>
      </w:r>
      <w:r w:rsidR="004071FC">
        <w:rPr>
          <w:rFonts w:ascii="Times New Roman" w:hAnsi="Times New Roman"/>
          <w:sz w:val="28"/>
          <w:szCs w:val="28"/>
        </w:rPr>
        <w:t xml:space="preserve">. </w:t>
      </w:r>
    </w:p>
    <w:p w:rsidR="004071FC" w:rsidRDefault="004071FC" w:rsidP="009E2689">
      <w:pPr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sub_102"/>
    </w:p>
    <w:p w:rsidR="00725943" w:rsidRPr="00A14386" w:rsidRDefault="00725943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 Оценка степени реализации основного мероприятия и достижения ожидаемых непосредственных результатов его реализации.</w:t>
      </w:r>
    </w:p>
    <w:p w:rsidR="004071FC" w:rsidRDefault="004071FC" w:rsidP="00075E5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Степень реализации мероприятия </w:t>
      </w:r>
    </w:p>
    <w:p w:rsidR="004071FC" w:rsidRDefault="004071FC" w:rsidP="00075E51">
      <w:pPr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1E1C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/ </w:t>
      </w:r>
      <w:r w:rsidR="00430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 w:rsidR="00430022">
        <w:rPr>
          <w:rFonts w:ascii="Times New Roman" w:hAnsi="Times New Roman"/>
          <w:sz w:val="28"/>
          <w:szCs w:val="28"/>
        </w:rPr>
        <w:t>1</w:t>
      </w:r>
    </w:p>
    <w:p w:rsidR="00A14386" w:rsidRPr="00725943" w:rsidRDefault="00A14386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</w:rPr>
      </w:pPr>
      <w:bookmarkStart w:id="1" w:name="sub_103"/>
    </w:p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4071FC" w:rsidRDefault="004071FC" w:rsidP="00075E5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5E2439">
        <w:rPr>
          <w:rFonts w:ascii="Times New Roman" w:hAnsi="Times New Roman"/>
          <w:sz w:val="28"/>
          <w:szCs w:val="28"/>
        </w:rPr>
        <w:t>5</w:t>
      </w:r>
      <w:r w:rsidR="00430022">
        <w:rPr>
          <w:rFonts w:ascii="Times New Roman" w:hAnsi="Times New Roman"/>
          <w:sz w:val="28"/>
          <w:szCs w:val="28"/>
        </w:rPr>
        <w:t>85,</w:t>
      </w:r>
      <w:r w:rsidR="005E24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/ </w:t>
      </w:r>
      <w:r w:rsidR="005E2439">
        <w:rPr>
          <w:rFonts w:ascii="Times New Roman" w:hAnsi="Times New Roman"/>
          <w:sz w:val="28"/>
          <w:szCs w:val="28"/>
        </w:rPr>
        <w:t>5</w:t>
      </w:r>
      <w:r w:rsidR="00430022">
        <w:rPr>
          <w:rFonts w:ascii="Times New Roman" w:hAnsi="Times New Roman"/>
          <w:sz w:val="28"/>
          <w:szCs w:val="28"/>
        </w:rPr>
        <w:t>85,</w:t>
      </w:r>
      <w:r w:rsidR="005E24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= </w:t>
      </w:r>
      <w:r w:rsidR="00430022">
        <w:rPr>
          <w:rFonts w:ascii="Times New Roman" w:hAnsi="Times New Roman"/>
          <w:sz w:val="28"/>
          <w:szCs w:val="28"/>
        </w:rPr>
        <w:t>1</w:t>
      </w:r>
    </w:p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sub_104"/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составляют </w:t>
      </w:r>
      <w:r w:rsidR="00430022">
        <w:rPr>
          <w:rFonts w:ascii="Times New Roman" w:hAnsi="Times New Roman"/>
          <w:bCs/>
          <w:color w:val="000000"/>
          <w:sz w:val="28"/>
          <w:szCs w:val="28"/>
        </w:rPr>
        <w:t>100</w:t>
      </w:r>
      <w:r w:rsidR="003D3C6F">
        <w:rPr>
          <w:rFonts w:ascii="Times New Roman" w:hAnsi="Times New Roman"/>
          <w:bCs/>
          <w:color w:val="000000"/>
          <w:sz w:val="28"/>
          <w:szCs w:val="28"/>
        </w:rPr>
        <w:t>%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запланированного уровня расходов.</w:t>
      </w:r>
    </w:p>
    <w:p w:rsidR="00A14386" w:rsidRPr="00725943" w:rsidRDefault="00A14386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</w:rPr>
      </w:pPr>
    </w:p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bookmarkEnd w:id="2"/>
    <w:p w:rsidR="004071FC" w:rsidRDefault="004071FC" w:rsidP="00075E51">
      <w:pPr>
        <w:widowControl w:val="0"/>
        <w:spacing w:after="0" w:line="100" w:lineRule="atLeast"/>
        <w:ind w:firstLine="709"/>
        <w:jc w:val="both"/>
        <w:rPr>
          <w:rStyle w:val="1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bookmarkEnd w:id="0"/>
    <w:p w:rsidR="004071FC" w:rsidRDefault="004071FC" w:rsidP="00075E51">
      <w:pPr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Style w:val="10"/>
          <w:color w:val="000000"/>
          <w:sz w:val="28"/>
          <w:szCs w:val="28"/>
        </w:rPr>
        <w:t>Эис</w:t>
      </w:r>
      <w:proofErr w:type="spellEnd"/>
      <w:r>
        <w:rPr>
          <w:rStyle w:val="10"/>
          <w:color w:val="000000"/>
          <w:sz w:val="28"/>
          <w:szCs w:val="28"/>
        </w:rPr>
        <w:t xml:space="preserve"> = </w:t>
      </w:r>
      <w:r w:rsidR="00430022">
        <w:rPr>
          <w:rStyle w:val="10"/>
          <w:color w:val="000000"/>
          <w:sz w:val="28"/>
          <w:szCs w:val="28"/>
        </w:rPr>
        <w:t>1</w:t>
      </w:r>
      <w:r>
        <w:rPr>
          <w:rStyle w:val="10"/>
          <w:color w:val="000000"/>
          <w:sz w:val="28"/>
          <w:szCs w:val="28"/>
        </w:rPr>
        <w:t xml:space="preserve"> / </w:t>
      </w:r>
      <w:r w:rsidR="00430022">
        <w:rPr>
          <w:rStyle w:val="10"/>
          <w:color w:val="000000"/>
          <w:sz w:val="28"/>
          <w:szCs w:val="28"/>
        </w:rPr>
        <w:t>1</w:t>
      </w:r>
      <w:r>
        <w:rPr>
          <w:rStyle w:val="10"/>
          <w:color w:val="000000"/>
          <w:sz w:val="28"/>
          <w:szCs w:val="28"/>
        </w:rPr>
        <w:t xml:space="preserve"> = </w:t>
      </w:r>
      <w:r w:rsidR="001E1C33">
        <w:rPr>
          <w:rStyle w:val="10"/>
          <w:color w:val="000000"/>
          <w:sz w:val="28"/>
          <w:szCs w:val="28"/>
        </w:rPr>
        <w:t>1</w:t>
      </w:r>
    </w:p>
    <w:p w:rsidR="00A14386" w:rsidRPr="00725943" w:rsidRDefault="00A14386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bCs/>
          <w:color w:val="000000"/>
        </w:rPr>
      </w:pP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5E2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/ </w:t>
      </w:r>
      <w:r w:rsidR="005E2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= 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</w:t>
      </w:r>
      <w:r w:rsidR="009B0922" w:rsidRPr="009B0922">
        <w:rPr>
          <w:rFonts w:ascii="Times New Roman" w:hAnsi="Times New Roman"/>
          <w:sz w:val="28"/>
          <w:szCs w:val="28"/>
        </w:rPr>
        <w:t>2</w:t>
      </w:r>
      <w:r w:rsidR="001D60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5E2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/ </w:t>
      </w:r>
      <w:r w:rsidR="005E2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= 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значения всех целевых показателей.</w:t>
      </w:r>
    </w:p>
    <w:p w:rsidR="004071FC" w:rsidRP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3"/>
      <w:r w:rsidRPr="004071FC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  <w:bookmarkEnd w:id="3"/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СРп</w:t>
      </w:r>
      <w:proofErr w:type="spellEnd"/>
      <w:r>
        <w:rPr>
          <w:rFonts w:ascii="Times New Roman" w:hAnsi="Times New Roman"/>
          <w:sz w:val="28"/>
          <w:szCs w:val="28"/>
        </w:rPr>
        <w:t xml:space="preserve">/п = (1 + 1) / </w:t>
      </w:r>
      <w:r w:rsidR="001D60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 w:rsidR="001D60E5">
        <w:rPr>
          <w:rFonts w:ascii="Times New Roman" w:hAnsi="Times New Roman"/>
          <w:sz w:val="28"/>
          <w:szCs w:val="28"/>
        </w:rPr>
        <w:t>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реализовано в полном объеме.</w:t>
      </w:r>
    </w:p>
    <w:p w:rsidR="004071FC" w:rsidRPr="00725943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</w:rPr>
      </w:pP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61"/>
      <w:r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</w:t>
      </w:r>
      <w:bookmarkEnd w:id="4"/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основное мероприятие № 1 </w:t>
      </w:r>
      <w:r w:rsidR="001D27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ЭРп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= 1 * 1</w:t>
      </w:r>
      <w:r>
        <w:rPr>
          <w:rStyle w:val="10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основное мероприятие № </w:t>
      </w:r>
      <w:r w:rsidR="001D60E5">
        <w:rPr>
          <w:rFonts w:ascii="Times New Roman" w:hAnsi="Times New Roman"/>
          <w:sz w:val="28"/>
          <w:szCs w:val="28"/>
        </w:rPr>
        <w:t xml:space="preserve">1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ЭРп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= 1 * 1</w:t>
      </w:r>
      <w:r>
        <w:rPr>
          <w:rStyle w:val="10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071FC" w:rsidRPr="00725943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</w:rPr>
      </w:pP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7"/>
      <w:r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72"/>
      <w:bookmarkEnd w:id="5"/>
      <w:r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  <w:bookmarkEnd w:id="6"/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</w:t>
      </w:r>
      <w:r w:rsidR="001D27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СДмппз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5E2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/ </w:t>
      </w:r>
      <w:r w:rsidR="005E2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= 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</w:t>
      </w:r>
      <w:r w:rsidR="009B0922" w:rsidRPr="00CB4AA9">
        <w:rPr>
          <w:rFonts w:ascii="Times New Roman" w:hAnsi="Times New Roman"/>
          <w:sz w:val="28"/>
          <w:szCs w:val="28"/>
        </w:rPr>
        <w:t>2</w:t>
      </w:r>
      <w:r w:rsidR="00A143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СДмппз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5E2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/ </w:t>
      </w:r>
      <w:r w:rsidR="005E2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= 1 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СРмп</w:t>
      </w:r>
      <w:proofErr w:type="spellEnd"/>
      <w:r>
        <w:rPr>
          <w:rFonts w:ascii="Times New Roman" w:hAnsi="Times New Roman"/>
          <w:sz w:val="28"/>
          <w:szCs w:val="28"/>
        </w:rPr>
        <w:t xml:space="preserve"> = (1 + 1) / </w:t>
      </w:r>
      <w:r w:rsidR="00A143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w:r w:rsidR="00A14386">
        <w:rPr>
          <w:rFonts w:ascii="Times New Roman" w:hAnsi="Times New Roman"/>
          <w:sz w:val="28"/>
          <w:szCs w:val="28"/>
        </w:rPr>
        <w:t>1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4071FC" w:rsidRPr="00725943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</w:rPr>
      </w:pP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8"/>
      <w:r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81"/>
      <w:bookmarkEnd w:id="7"/>
      <w:r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ЭРмп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A14386">
        <w:rPr>
          <w:rFonts w:ascii="Times New Roman" w:hAnsi="Times New Roman"/>
          <w:sz w:val="28"/>
          <w:szCs w:val="28"/>
        </w:rPr>
        <w:t>1</w:t>
      </w:r>
      <w:r w:rsidR="001D2786">
        <w:rPr>
          <w:rFonts w:ascii="Times New Roman" w:hAnsi="Times New Roman"/>
          <w:sz w:val="28"/>
          <w:szCs w:val="28"/>
        </w:rPr>
        <w:t>*1=1</w:t>
      </w:r>
    </w:p>
    <w:bookmarkEnd w:id="8"/>
    <w:p w:rsidR="004071FC" w:rsidRDefault="004071FC" w:rsidP="009E2689">
      <w:pPr>
        <w:widowControl w:val="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является </w:t>
      </w:r>
      <w:r w:rsidR="00CC5303"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>.</w:t>
      </w:r>
    </w:p>
    <w:p w:rsidR="001D2786" w:rsidRPr="00725943" w:rsidRDefault="001D2786" w:rsidP="004071FC">
      <w:pPr>
        <w:widowControl w:val="0"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bookmarkStart w:id="9" w:name="_GoBack"/>
    </w:p>
    <w:p w:rsidR="001D2786" w:rsidRPr="00725943" w:rsidRDefault="001D2786" w:rsidP="004071FC">
      <w:pPr>
        <w:widowControl w:val="0"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bookmarkEnd w:id="9"/>
    <w:p w:rsidR="004071FC" w:rsidRDefault="004071FC" w:rsidP="004071FC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7C13" w:rsidRDefault="004071FC" w:rsidP="004071F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имущественных отношений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О.Г.Марук</w:t>
      </w:r>
      <w:proofErr w:type="spellEnd"/>
    </w:p>
    <w:sectPr w:rsidR="00D57C13" w:rsidSect="0072594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6735"/>
    <w:multiLevelType w:val="hybridMultilevel"/>
    <w:tmpl w:val="8326ECA0"/>
    <w:lvl w:ilvl="0" w:tplc="039E2ED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63906A79"/>
    <w:multiLevelType w:val="hybridMultilevel"/>
    <w:tmpl w:val="F64E9056"/>
    <w:lvl w:ilvl="0" w:tplc="A38002B4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4A"/>
    <w:rsid w:val="00000D26"/>
    <w:rsid w:val="000278FE"/>
    <w:rsid w:val="000503DD"/>
    <w:rsid w:val="00075E51"/>
    <w:rsid w:val="000A5F4A"/>
    <w:rsid w:val="000F44EB"/>
    <w:rsid w:val="000F5825"/>
    <w:rsid w:val="00101232"/>
    <w:rsid w:val="001556A5"/>
    <w:rsid w:val="00164C64"/>
    <w:rsid w:val="001D2786"/>
    <w:rsid w:val="001D60E5"/>
    <w:rsid w:val="001E1C33"/>
    <w:rsid w:val="001F7DDB"/>
    <w:rsid w:val="00285052"/>
    <w:rsid w:val="00296CAD"/>
    <w:rsid w:val="002A16E0"/>
    <w:rsid w:val="002B0527"/>
    <w:rsid w:val="002E225E"/>
    <w:rsid w:val="00317E4C"/>
    <w:rsid w:val="003224BE"/>
    <w:rsid w:val="00365C53"/>
    <w:rsid w:val="003D3832"/>
    <w:rsid w:val="003D3C6F"/>
    <w:rsid w:val="00406F62"/>
    <w:rsid w:val="004071FC"/>
    <w:rsid w:val="00411BC7"/>
    <w:rsid w:val="00413DFF"/>
    <w:rsid w:val="00420704"/>
    <w:rsid w:val="00430022"/>
    <w:rsid w:val="00447CEB"/>
    <w:rsid w:val="00453F78"/>
    <w:rsid w:val="00465F7C"/>
    <w:rsid w:val="00471DAA"/>
    <w:rsid w:val="004A698B"/>
    <w:rsid w:val="004A6B7D"/>
    <w:rsid w:val="004B4F0F"/>
    <w:rsid w:val="004B6E9B"/>
    <w:rsid w:val="004C10A7"/>
    <w:rsid w:val="004E0BAB"/>
    <w:rsid w:val="004F56BF"/>
    <w:rsid w:val="00517680"/>
    <w:rsid w:val="00563B81"/>
    <w:rsid w:val="005B2050"/>
    <w:rsid w:val="005C68EE"/>
    <w:rsid w:val="005D0EB4"/>
    <w:rsid w:val="005D7ACA"/>
    <w:rsid w:val="005E2439"/>
    <w:rsid w:val="00600288"/>
    <w:rsid w:val="006026A6"/>
    <w:rsid w:val="00644FBE"/>
    <w:rsid w:val="00651386"/>
    <w:rsid w:val="00672D8E"/>
    <w:rsid w:val="006949A5"/>
    <w:rsid w:val="006D78D7"/>
    <w:rsid w:val="006E33C1"/>
    <w:rsid w:val="007202D1"/>
    <w:rsid w:val="00725943"/>
    <w:rsid w:val="00747AFE"/>
    <w:rsid w:val="00754ADD"/>
    <w:rsid w:val="007B669A"/>
    <w:rsid w:val="007C0482"/>
    <w:rsid w:val="007C0FA3"/>
    <w:rsid w:val="007F31DA"/>
    <w:rsid w:val="00801743"/>
    <w:rsid w:val="008654E9"/>
    <w:rsid w:val="00883C4B"/>
    <w:rsid w:val="008950FA"/>
    <w:rsid w:val="008B0480"/>
    <w:rsid w:val="008B1287"/>
    <w:rsid w:val="008E6F46"/>
    <w:rsid w:val="009079AB"/>
    <w:rsid w:val="00930157"/>
    <w:rsid w:val="00957F0D"/>
    <w:rsid w:val="009B0922"/>
    <w:rsid w:val="009C6D73"/>
    <w:rsid w:val="009D2790"/>
    <w:rsid w:val="009E2689"/>
    <w:rsid w:val="009E2D68"/>
    <w:rsid w:val="00A14386"/>
    <w:rsid w:val="00A70161"/>
    <w:rsid w:val="00A86842"/>
    <w:rsid w:val="00A92D5C"/>
    <w:rsid w:val="00AD62E1"/>
    <w:rsid w:val="00AE55A4"/>
    <w:rsid w:val="00AF2C15"/>
    <w:rsid w:val="00B07DB9"/>
    <w:rsid w:val="00B11E85"/>
    <w:rsid w:val="00B15462"/>
    <w:rsid w:val="00B310EF"/>
    <w:rsid w:val="00B56267"/>
    <w:rsid w:val="00B74B0C"/>
    <w:rsid w:val="00B87BB3"/>
    <w:rsid w:val="00BB5E1B"/>
    <w:rsid w:val="00C13DFF"/>
    <w:rsid w:val="00C17FB4"/>
    <w:rsid w:val="00C32B13"/>
    <w:rsid w:val="00C8284D"/>
    <w:rsid w:val="00CB4AA9"/>
    <w:rsid w:val="00CC5303"/>
    <w:rsid w:val="00CF452C"/>
    <w:rsid w:val="00D15FC0"/>
    <w:rsid w:val="00D17FA7"/>
    <w:rsid w:val="00D5484D"/>
    <w:rsid w:val="00D57C13"/>
    <w:rsid w:val="00D87182"/>
    <w:rsid w:val="00DB48F3"/>
    <w:rsid w:val="00E04367"/>
    <w:rsid w:val="00E12821"/>
    <w:rsid w:val="00E14887"/>
    <w:rsid w:val="00E1638B"/>
    <w:rsid w:val="00E17E4F"/>
    <w:rsid w:val="00E512E8"/>
    <w:rsid w:val="00E6330D"/>
    <w:rsid w:val="00E6605B"/>
    <w:rsid w:val="00E7152B"/>
    <w:rsid w:val="00EA3CFB"/>
    <w:rsid w:val="00F95579"/>
    <w:rsid w:val="00F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4A698B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3">
    <w:name w:val="List Paragraph"/>
    <w:basedOn w:val="a"/>
    <w:uiPriority w:val="99"/>
    <w:qFormat/>
    <w:rsid w:val="00420704"/>
    <w:pPr>
      <w:ind w:left="720"/>
      <w:contextualSpacing/>
    </w:pPr>
  </w:style>
  <w:style w:type="character" w:customStyle="1" w:styleId="10">
    <w:name w:val="Основной текст Знак1"/>
    <w:basedOn w:val="a0"/>
    <w:rsid w:val="006D78D7"/>
    <w:rPr>
      <w:rFonts w:ascii="Times New Roman" w:hAnsi="Times New Roman" w:cs="Times New Roman"/>
      <w:spacing w:val="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E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68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4A698B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3">
    <w:name w:val="List Paragraph"/>
    <w:basedOn w:val="a"/>
    <w:uiPriority w:val="99"/>
    <w:qFormat/>
    <w:rsid w:val="00420704"/>
    <w:pPr>
      <w:ind w:left="720"/>
      <w:contextualSpacing/>
    </w:pPr>
  </w:style>
  <w:style w:type="character" w:customStyle="1" w:styleId="10">
    <w:name w:val="Основной текст Знак1"/>
    <w:basedOn w:val="a0"/>
    <w:rsid w:val="006D78D7"/>
    <w:rPr>
      <w:rFonts w:ascii="Times New Roman" w:hAnsi="Times New Roman" w:cs="Times New Roman"/>
      <w:spacing w:val="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E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6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Земельный отдел</cp:lastModifiedBy>
  <cp:revision>5</cp:revision>
  <cp:lastPrinted>2022-01-26T10:19:00Z</cp:lastPrinted>
  <dcterms:created xsi:type="dcterms:W3CDTF">2022-01-26T10:20:00Z</dcterms:created>
  <dcterms:modified xsi:type="dcterms:W3CDTF">2022-04-12T10:25:00Z</dcterms:modified>
</cp:coreProperties>
</file>