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28743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8743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490">
        <w:rPr>
          <w:rFonts w:ascii="Times New Roman" w:hAnsi="Times New Roman"/>
          <w:color w:val="000000"/>
          <w:sz w:val="28"/>
          <w:szCs w:val="28"/>
        </w:rPr>
        <w:t>30.01.2023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490">
        <w:rPr>
          <w:rFonts w:ascii="Times New Roman" w:hAnsi="Times New Roman"/>
          <w:color w:val="000000"/>
          <w:sz w:val="28"/>
          <w:szCs w:val="28"/>
        </w:rPr>
        <w:t>25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01143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района </w:t>
      </w:r>
      <w:r w:rsidRPr="000114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4C5D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C8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C51C8C" w:rsidRDefault="000C045C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C51C8C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 w:rsidP="006A462A">
      <w:pPr>
        <w:spacing w:after="0" w:line="240" w:lineRule="auto"/>
        <w:rPr>
          <w:rFonts w:ascii="Times New Roman" w:hAnsi="Times New Roman"/>
          <w:b/>
          <w:sz w:val="28"/>
        </w:rPr>
        <w:sectPr w:rsidR="00AF367F" w:rsidSect="007D3122"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7D3122">
        <w:rPr>
          <w:rFonts w:ascii="Times New Roman" w:hAnsi="Times New Roman"/>
          <w:sz w:val="28"/>
          <w:szCs w:val="28"/>
        </w:rPr>
        <w:t xml:space="preserve">   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C51C8C">
        <w:rPr>
          <w:rFonts w:ascii="Times New Roman" w:hAnsi="Times New Roman"/>
          <w:sz w:val="28"/>
          <w:szCs w:val="28"/>
        </w:rPr>
        <w:t xml:space="preserve">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0C045C">
        <w:rPr>
          <w:rFonts w:ascii="Times New Roman" w:hAnsi="Times New Roman"/>
          <w:sz w:val="28"/>
          <w:szCs w:val="28"/>
        </w:rPr>
        <w:t>И.Л. Кочетков</w:t>
      </w:r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4367BA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4367BA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ООО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7159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4B3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4B3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4B3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4B3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4B3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для </w:t>
            </w:r>
            <w:r>
              <w:rPr>
                <w:rFonts w:ascii="Times New Roman" w:hAnsi="Times New Roman"/>
                <w:iCs/>
              </w:rPr>
              <w:lastRenderedPageBreak/>
              <w:t>отдыха жителей и гостей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2089,5</w:t>
            </w:r>
          </w:p>
        </w:tc>
        <w:tc>
          <w:tcPr>
            <w:tcW w:w="1276" w:type="dxa"/>
          </w:tcPr>
          <w:p w:rsidR="007159D5" w:rsidRPr="001D2558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2089,5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2089,5</w:t>
            </w:r>
          </w:p>
        </w:tc>
        <w:tc>
          <w:tcPr>
            <w:tcW w:w="1276" w:type="dxa"/>
          </w:tcPr>
          <w:p w:rsidR="007159D5" w:rsidRPr="001D2558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2089,5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884,5</w:t>
            </w:r>
          </w:p>
        </w:tc>
        <w:tc>
          <w:tcPr>
            <w:tcW w:w="1276" w:type="dxa"/>
          </w:tcPr>
          <w:p w:rsidR="007159D5" w:rsidRDefault="004367BA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884,5</w:t>
            </w:r>
          </w:p>
        </w:tc>
        <w:tc>
          <w:tcPr>
            <w:tcW w:w="1276" w:type="dxa"/>
          </w:tcPr>
          <w:p w:rsidR="007159D5" w:rsidRDefault="004367BA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C51C8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8531,5</w:t>
            </w:r>
          </w:p>
        </w:tc>
        <w:tc>
          <w:tcPr>
            <w:tcW w:w="1276" w:type="dxa"/>
          </w:tcPr>
          <w:p w:rsidR="007159D5" w:rsidRDefault="00C51C8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8531,5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51C8C">
              <w:rPr>
                <w:rFonts w:ascii="Times New Roman" w:hAnsi="Times New Roman"/>
              </w:rPr>
              <w:t>831</w:t>
            </w:r>
            <w:r w:rsidR="007159D5">
              <w:rPr>
                <w:rFonts w:ascii="Times New Roman" w:hAnsi="Times New Roman"/>
              </w:rPr>
              <w:t>,</w:t>
            </w:r>
            <w:r w:rsidR="00C51C8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7159D5" w:rsidRDefault="00F0343E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51C8C">
              <w:rPr>
                <w:rFonts w:ascii="Times New Roman" w:hAnsi="Times New Roman"/>
              </w:rPr>
              <w:t>831</w:t>
            </w:r>
            <w:r w:rsidR="007159D5">
              <w:rPr>
                <w:rFonts w:ascii="Times New Roman" w:hAnsi="Times New Roman"/>
              </w:rPr>
              <w:t>,</w:t>
            </w:r>
            <w:r w:rsidR="00C51C8C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C51C8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276" w:type="dxa"/>
          </w:tcPr>
          <w:p w:rsidR="007159D5" w:rsidRDefault="00C51C8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465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AF367F" w:rsidRDefault="007159D5" w:rsidP="006A462A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6A462A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390E"/>
    <w:rsid w:val="0017466E"/>
    <w:rsid w:val="00177282"/>
    <w:rsid w:val="0018276F"/>
    <w:rsid w:val="001A6CA2"/>
    <w:rsid w:val="001A79DE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8743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C251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67BA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7887"/>
    <w:rsid w:val="004C157C"/>
    <w:rsid w:val="004C5D81"/>
    <w:rsid w:val="004C759C"/>
    <w:rsid w:val="004C7A28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A462A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E7B67"/>
    <w:rsid w:val="00BF3B3C"/>
    <w:rsid w:val="00BF55C9"/>
    <w:rsid w:val="00C0102B"/>
    <w:rsid w:val="00C16335"/>
    <w:rsid w:val="00C16EAF"/>
    <w:rsid w:val="00C31E53"/>
    <w:rsid w:val="00C33AD6"/>
    <w:rsid w:val="00C367B7"/>
    <w:rsid w:val="00C51C8C"/>
    <w:rsid w:val="00C55B77"/>
    <w:rsid w:val="00C6241A"/>
    <w:rsid w:val="00C64A8B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1D17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2023-01-30T11:55:00Z</cp:lastPrinted>
  <dcterms:created xsi:type="dcterms:W3CDTF">2023-01-30T12:19:00Z</dcterms:created>
  <dcterms:modified xsi:type="dcterms:W3CDTF">2023-02-28T08:22:00Z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