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по проекту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образования Динской район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Нововеличковского сельского поселения Динского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Нововеличковского сельского поселения Динского района от 09.11.2016 № 542 "О Порядке разработки и корректировки, осуществления мониторинга и контроля реализации прогноза социально-экономического развития Нововеличковского сельского поселения Динского района на долгосрочный и среднесрочный периоды» (с изменениями и дополнениями от 03.11.2017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проводится общественное обсуждение проекта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образования Динской район 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прогноза).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финансов и муниципальных закупок администрации Нововеличковского сельского поселения Динского района: </w:t>
      </w:r>
      <w:r>
        <w:fldChar w:fldCharType="begin"/>
      </w:r>
      <w:r>
        <w:instrText xml:space="preserve"> HYPERLINK "http://novovelfin@rambler.ru"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novovelfin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Style w:val="3"/>
        <w:tblW w:w="106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931"/>
        <w:gridCol w:w="931"/>
        <w:gridCol w:w="931"/>
        <w:gridCol w:w="931"/>
        <w:gridCol w:w="931"/>
        <w:gridCol w:w="931"/>
        <w:gridCol w:w="821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НОВОВЕЛИЧКОВСКОГО СЕЛЬСКОГО ПОСЕЛЕНИЯ                                                                    МУНИЦИПАЛЬНОГО ОБРАЗОВАНИЯ ДИНСКОЙ РАЙОН                                                                                                     НА 2022 ГОД И ПЛАНОВЫЙ ПЕРИОД 2023 И 2024 ГОДОВ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 г.     в % к   2020 г.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 г.    в % к    2020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отчет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Промышленная деятельность 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(объем отгруженной продукции) по полному кругу предприятий, млн. руб.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439,737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457,648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488,084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630,137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Объем продукции сельского хозяйства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всех сельхозпроизводителей, млн.руб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Объем услуг по траспортировке и хранению по полному кругу предприятий,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Оборот розничной торговли, 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Оборот общественного питания, 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Объем выполненных работ по виду деятельности "строительство" (без неформальной экономики),млн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Сальдированный финансовый результат,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188,805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213,735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Прибыль прибыльных  предприятий,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Убыток по всем видам деятельности,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Фонд заработной платы по полному кругу организаций без централизованного досчета,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тыс.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30012,1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35131,5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38594,7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Численность постоянного населения (среднегодовая), тыс.чел.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12,9835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13,0185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13,0355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Численность занятых в экономике (среднегодовая), тыс.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4,163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4,184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Численность работников в малом и среднем предпринимательстве,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освещенных улиц,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20,57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20,87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21,67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водопроводных сетей,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канализационных сетей,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автомобильных дорог местного значения,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том числе с твердым покрытием,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73,80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86,228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0,608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1,074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Протяженность отремонтированных тротуаров,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Количество культурно-массовых мероприятий, проведённых муниципальными учреждениями культуры, ед.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Количество присутствующих на культурно-массовых мероприятиях, проведённых муниципальными учреждениями культуры,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39040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Обновляемость книжного фонда общедоступных библиотек, 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Книговыдача в общедоступных библиотеках, экз.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Количество посещений общедоступных библиотек,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Организация и проведение официальных физкультурных (физкультурно-оздоровительных) мероприятий, ед.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Количество людей систематически занимающихся физической культурой и спортом,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Вуймина</w:t>
      </w:r>
    </w:p>
    <w:sectPr>
      <w:pgSz w:w="11906" w:h="16838"/>
      <w:pgMar w:top="708" w:right="566" w:bottom="284" w:left="567" w:header="2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045D43"/>
    <w:rsid w:val="0010745A"/>
    <w:rsid w:val="001149E9"/>
    <w:rsid w:val="001D1D14"/>
    <w:rsid w:val="002B73DC"/>
    <w:rsid w:val="002C43F5"/>
    <w:rsid w:val="002C6565"/>
    <w:rsid w:val="003C0C68"/>
    <w:rsid w:val="00464789"/>
    <w:rsid w:val="005A10A9"/>
    <w:rsid w:val="0071338B"/>
    <w:rsid w:val="0071778F"/>
    <w:rsid w:val="007B7CAC"/>
    <w:rsid w:val="008E66EE"/>
    <w:rsid w:val="0092395F"/>
    <w:rsid w:val="00930091"/>
    <w:rsid w:val="0094597B"/>
    <w:rsid w:val="00C51393"/>
    <w:rsid w:val="00CC20F7"/>
    <w:rsid w:val="00FC50DF"/>
    <w:rsid w:val="072C6AD4"/>
    <w:rsid w:val="0B476EFC"/>
    <w:rsid w:val="0CA45A0B"/>
    <w:rsid w:val="13671AF2"/>
    <w:rsid w:val="26226FB7"/>
    <w:rsid w:val="29173728"/>
    <w:rsid w:val="35BF11BD"/>
    <w:rsid w:val="4502315F"/>
    <w:rsid w:val="4C903734"/>
    <w:rsid w:val="707535E8"/>
    <w:rsid w:val="73D71720"/>
    <w:rsid w:val="7E2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47</TotalTime>
  <ScaleCrop>false</ScaleCrop>
  <LinksUpToDate>false</LinksUpToDate>
  <CharactersWithSpaces>5973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2016-11-09T07:54:00Z</dcterms:created>
  <dc:creator>Александр Александр</dc:creator>
  <cp:lastModifiedBy>Пользователь</cp:lastModifiedBy>
  <cp:lastPrinted>2021-10-29T10:27:55Z</cp:lastPrinted>
  <dcterms:modified xsi:type="dcterms:W3CDTF">2021-10-29T10:28:40Z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233C8E6A23D444ABAAF6E511E20EC11C</vt:lpwstr>
  </property>
</Properties>
</file>