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по проекту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образования Динской район </w:t>
      </w:r>
      <w:r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Нововеличковского сельского поселения Динского района в соответствии с Федеральным законом от 28 июня 2014 года № 172-ФЗ "О стратегическом планировании в Российской Федерации, постановлением администрации Нововеличковского сельского поселения Динского района от 09.11.2016 № 542 "О Порядке разработки и корректировки, осуществления мониторинга и контроля реализации прогноза социально-экономического развития Нововеличковского сельского поселения Динского района на долгосрочный и среднесрочный периоды» (с изменениями и дополнениями от 03.11.2017г) проводится общественное обсуждение проекта прогноза социально-экономического развития Нововеличковского сельского поселения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муниципального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образования Динской район 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 20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и 202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годов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прогноза).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</w:t>
      </w:r>
      <w:r>
        <w:rPr>
          <w:rFonts w:ascii="Times New Roman" w:hAnsi="Times New Roman" w:cs="Times New Roman"/>
          <w:sz w:val="28"/>
          <w:szCs w:val="28"/>
        </w:rPr>
        <w:t>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–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отдела финансов и муниципальных закупок администрации Нововеличковского сельского поселения Динского района: </w:t>
      </w:r>
      <w:r>
        <w:fldChar w:fldCharType="begin"/>
      </w:r>
      <w:r>
        <w:instrText xml:space="preserve"> HYPERLINK "http://novovelfin@rambler.ru" </w:instrText>
      </w:r>
      <w:r>
        <w:fldChar w:fldCharType="separate"/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Style w:val="6"/>
          <w:rFonts w:ascii="Times New Roman" w:hAnsi="Times New Roman" w:cs="Times New Roman"/>
          <w:sz w:val="28"/>
          <w:szCs w:val="28"/>
        </w:rPr>
        <w:t>://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novovelfin</w:t>
      </w:r>
      <w:r>
        <w:rPr>
          <w:rStyle w:val="6"/>
          <w:rFonts w:ascii="Times New Roman" w:hAnsi="Times New Roman" w:cs="Times New Roman"/>
          <w:sz w:val="28"/>
          <w:szCs w:val="28"/>
        </w:rPr>
        <w:t>@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rambler</w:t>
      </w:r>
      <w:r>
        <w:rPr>
          <w:rStyle w:val="6"/>
          <w:rFonts w:ascii="Times New Roman" w:hAnsi="Times New Roman" w:cs="Times New Roman"/>
          <w:sz w:val="28"/>
          <w:szCs w:val="28"/>
        </w:rPr>
        <w:t>.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6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замечаниям и предложениям представителей общественности к проекту прогноза установлены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общественности, поступившие после срока завершения проведения общественного обсуждения проекта прогноза, не учитываются при его доработке и рассматриваются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Проект</w:t>
      </w:r>
    </w:p>
    <w:tbl>
      <w:tblPr>
        <w:tblStyle w:val="7"/>
        <w:tblW w:w="108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9"/>
        <w:gridCol w:w="900"/>
        <w:gridCol w:w="795"/>
        <w:gridCol w:w="870"/>
        <w:gridCol w:w="855"/>
        <w:gridCol w:w="855"/>
        <w:gridCol w:w="855"/>
        <w:gridCol w:w="930"/>
        <w:gridCol w:w="9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ПРОГНОЗ СОЦИАЛЬНО-ЭКОНОМИЧЕСКОГО РАЗВИТИЯ                                                                                                                                                                            НОВОВЕЛИЧКОВСКОГО СЕЛЬСКОГО ПОСЕЛЕНИЯ                                        </w:t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ru-RU" w:eastAsia="zh-CN" w:bidi="ar"/>
              </w:rPr>
              <w:t xml:space="preserve">   </w:t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МУНИЦИПАЛЬНОГО ОБРАЗОВАНИЯ ДИНСКОЙ РАЙОН                                                                                                           НА 2021 ГОД И ПЛАНОВЫЙ ПЕРИОД 2022 И 2023 ГОДОВ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НАИМЕНОВАНИЕ ПОКАЗАТЕЛЕЙ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</w:p>
        </w:tc>
        <w:tc>
          <w:tcPr>
            <w:tcW w:w="79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</w:p>
        </w:tc>
        <w:tc>
          <w:tcPr>
            <w:tcW w:w="870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  <w:tc>
          <w:tcPr>
            <w:tcW w:w="930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 г.     в % к   2019 г.</w:t>
            </w:r>
          </w:p>
        </w:tc>
        <w:tc>
          <w:tcPr>
            <w:tcW w:w="94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 г.    в % к    2019 г.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81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отчет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256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прогноз</w:t>
            </w:r>
          </w:p>
        </w:tc>
        <w:tc>
          <w:tcPr>
            <w:tcW w:w="930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vMerge w:val="continue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Промышленная деятельность  </w:t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(объем отгруженной продукции) по полному кругу предприятий, млн. руб.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374,9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439,7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475,8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558,4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577,8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615,6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127,0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117,3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108,2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117,4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106,5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Объем продукции сельского хозяйства </w:t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всех сельхозпроизводителей, млн.руб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1589,4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2013,7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1898,7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2394,0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100,4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126,7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109,4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Оборот розничной торговли, млн.руб.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1710,0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1845,0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1962,1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2139,0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2466,2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115,9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133,7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107,9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Оборот общественного питания, млн.руб.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30,0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32,0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21,4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31,9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33,7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95,3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106,7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66,9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105,6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Инвестиции в основной капитал за счет всех источников финансирования (без неформальной экономики), млн.руб.    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1758,7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1783,9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1082,4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2329,4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4626,8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4943,8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130,6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101,4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60,7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215,2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106,9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Прибыль прибыльных  предприятий, </w:t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млн.руб.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172,2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190,1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218,9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103,7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115,1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110,4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93,8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Фонд заработной платы по полному кругу организаций, млн.руб.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520,4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558,2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608,9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693,8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109,1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124,3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107,3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107,4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Численность работающих для расчета среднемесячной заработной платы по полному кругу организаций, </w:t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тыс. чел.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1,543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1,550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1,552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1,578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1,590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1,611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101,8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101,7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101,3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Среднемесячная заработная плата по полному кругу организаций, руб.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28107,3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30012,1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30713,8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32157,3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33861,6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35890,3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107,1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119,6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106,8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104,7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Количество субъектов малого предпринимательства, единиц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446,0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425,0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454,0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99,8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106,8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в % к пред. году 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95,3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103,9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Численность работников в малом предпринимательстве, чел.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554,0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553,0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553,0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99,6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99,8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right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Численность постоянного населения (среднегодовая), тыс.чел.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12,9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13,0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13,1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13,1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100,8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100,8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100,8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Численность занятых в экономике (среднегодовая), тыс. чел.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4,2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4,4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100,7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в % к пред. году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100,5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100,2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100,5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100,2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3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Среднегодовой уровень регистрируемой безработицы (в % к численности трудоспособного населения в трудоспособном возрасте)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0,4</w:t>
            </w:r>
          </w:p>
        </w:tc>
        <w:tc>
          <w:tcPr>
            <w:tcW w:w="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0,4</w:t>
            </w:r>
          </w:p>
        </w:tc>
        <w:tc>
          <w:tcPr>
            <w:tcW w:w="8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2,3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1,6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</w:t>
            </w:r>
          </w:p>
        </w:tc>
        <w:tc>
          <w:tcPr>
            <w:tcW w:w="8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1,0</w:t>
            </w:r>
          </w:p>
        </w:tc>
        <w:tc>
          <w:tcPr>
            <w:tcW w:w="9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  <w:tc>
          <w:tcPr>
            <w:tcW w:w="9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Arial Cy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Arial Cy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х</w:t>
            </w:r>
          </w:p>
        </w:tc>
      </w:tr>
    </w:tbl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 и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закупок администрации 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Нововеличковского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Вуймина</w:t>
      </w:r>
    </w:p>
    <w:sectPr>
      <w:pgSz w:w="11906" w:h="16838"/>
      <w:pgMar w:top="708" w:right="566" w:bottom="284" w:left="567" w:header="26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AC"/>
    <w:rsid w:val="00045D43"/>
    <w:rsid w:val="0010745A"/>
    <w:rsid w:val="001149E9"/>
    <w:rsid w:val="001D1D14"/>
    <w:rsid w:val="002B73DC"/>
    <w:rsid w:val="002C43F5"/>
    <w:rsid w:val="002C6565"/>
    <w:rsid w:val="003C0C68"/>
    <w:rsid w:val="00464789"/>
    <w:rsid w:val="005A10A9"/>
    <w:rsid w:val="0071338B"/>
    <w:rsid w:val="0071778F"/>
    <w:rsid w:val="007B7CAC"/>
    <w:rsid w:val="008E66EE"/>
    <w:rsid w:val="0092395F"/>
    <w:rsid w:val="00930091"/>
    <w:rsid w:val="0094597B"/>
    <w:rsid w:val="00C51393"/>
    <w:rsid w:val="00CC20F7"/>
    <w:rsid w:val="00FC50DF"/>
    <w:rsid w:val="0CA45A0B"/>
    <w:rsid w:val="13671AF2"/>
    <w:rsid w:val="26226FB7"/>
    <w:rsid w:val="29173728"/>
    <w:rsid w:val="35BF11BD"/>
    <w:rsid w:val="4C903734"/>
    <w:rsid w:val="707535E8"/>
    <w:rsid w:val="73D7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893</Words>
  <Characters>5091</Characters>
  <Lines>42</Lines>
  <Paragraphs>11</Paragraphs>
  <TotalTime>21</TotalTime>
  <ScaleCrop>false</ScaleCrop>
  <LinksUpToDate>false</LinksUpToDate>
  <CharactersWithSpaces>5973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2016-11-09T07:54:00Z</dcterms:created>
  <dc:creator>Александр Александр</dc:creator>
  <cp:lastModifiedBy>Пользователь</cp:lastModifiedBy>
  <cp:lastPrinted>2020-10-29T06:24:38Z</cp:lastPrinted>
  <dcterms:modified xsi:type="dcterms:W3CDTF">2020-10-29T06:25:03Z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