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4F039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F0399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EC377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184">
        <w:rPr>
          <w:rFonts w:ascii="Times New Roman" w:hAnsi="Times New Roman"/>
          <w:color w:val="000000"/>
          <w:sz w:val="28"/>
          <w:szCs w:val="28"/>
        </w:rPr>
        <w:t>22.07.2019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42018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№</w:t>
      </w:r>
      <w:r w:rsidR="00420184">
        <w:rPr>
          <w:rFonts w:ascii="Times New Roman" w:hAnsi="Times New Roman"/>
          <w:color w:val="000000"/>
          <w:sz w:val="28"/>
          <w:szCs w:val="28"/>
        </w:rPr>
        <w:t>146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</w:t>
      </w:r>
      <w:r w:rsidR="00420184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EC3774">
        <w:rPr>
          <w:rFonts w:ascii="Times New Roman" w:hAnsi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32033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EC3774">
        <w:rPr>
          <w:rFonts w:ascii="Times New Roman" w:hAnsi="Times New Roman"/>
          <w:color w:val="000000"/>
          <w:sz w:val="28"/>
          <w:szCs w:val="28"/>
        </w:rPr>
        <w:t>04.07</w:t>
      </w:r>
      <w:r w:rsidR="00D32033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3774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 w:rsidP="00ED266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муниципальной целевой программы «Благоустройство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</w:t>
            </w:r>
            <w:r w:rsidR="0071687A">
              <w:rPr>
                <w:rFonts w:ascii="Times New Roman" w:hAnsi="Times New Roman"/>
                <w:sz w:val="18"/>
                <w:szCs w:val="18"/>
              </w:rPr>
              <w:t>р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ского, ул.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lastRenderedPageBreak/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 xml:space="preserve">ного освещения ст. </w:t>
            </w:r>
            <w:proofErr w:type="spellStart"/>
            <w:r w:rsidR="00C16EAF">
              <w:rPr>
                <w:rFonts w:ascii="Times New Roman" w:hAnsi="Times New Roman"/>
              </w:rPr>
              <w:t>Воронцовской</w:t>
            </w:r>
            <w:proofErr w:type="spellEnd"/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4F0399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61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4F039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60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lastRenderedPageBreak/>
              <w:t>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мест захоронений </w:t>
            </w:r>
            <w:r>
              <w:rPr>
                <w:rFonts w:ascii="Times New Roman" w:hAnsi="Times New Roman"/>
              </w:rPr>
              <w:lastRenderedPageBreak/>
              <w:t>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C377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</w:t>
            </w:r>
            <w:r w:rsidR="00D32033">
              <w:rPr>
                <w:rFonts w:ascii="Times New Roman" w:hAnsi="Times New Roman"/>
              </w:rPr>
              <w:t>, приобретение строительных мат</w:t>
            </w:r>
            <w:r w:rsidR="00D32033">
              <w:rPr>
                <w:rFonts w:ascii="Times New Roman" w:hAnsi="Times New Roman"/>
              </w:rPr>
              <w:t>е</w:t>
            </w:r>
            <w:r w:rsidR="00D32033">
              <w:rPr>
                <w:rFonts w:ascii="Times New Roman" w:hAnsi="Times New Roman"/>
              </w:rPr>
              <w:t>риалов для благоу</w:t>
            </w:r>
            <w:r w:rsidR="00D32033">
              <w:rPr>
                <w:rFonts w:ascii="Times New Roman" w:hAnsi="Times New Roman"/>
              </w:rPr>
              <w:t>с</w:t>
            </w:r>
            <w:r w:rsidR="00D32033">
              <w:rPr>
                <w:rFonts w:ascii="Times New Roman" w:hAnsi="Times New Roman"/>
              </w:rPr>
              <w:t>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создание условий для </w:t>
            </w:r>
            <w:r>
              <w:rPr>
                <w:rFonts w:ascii="Times New Roman" w:hAnsi="Times New Roman"/>
                <w:color w:val="000000"/>
              </w:rPr>
              <w:lastRenderedPageBreak/>
              <w:t>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скейт-площадки</w:t>
            </w:r>
            <w:proofErr w:type="spellEnd"/>
            <w:r>
              <w:rPr>
                <w:rFonts w:ascii="Times New Roman" w:hAnsi="Times New Roman"/>
              </w:rPr>
              <w:t xml:space="preserve">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C377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C377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9966FE"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Default="004F0399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399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;mso-position-horizontal-relative:text;mso-position-vertical-relative:text" o:connectortype="straight"/>
        </w:pict>
      </w:r>
    </w:p>
    <w:p w:rsidR="00420184" w:rsidRDefault="00420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184" w:rsidRDefault="00420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7A" w:rsidRDefault="0071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 w:rsidP="00420184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 w:rsidR="0071687A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71687A">
        <w:rPr>
          <w:rFonts w:ascii="Times New Roman" w:hAnsi="Times New Roman"/>
          <w:sz w:val="28"/>
          <w:szCs w:val="28"/>
        </w:rPr>
        <w:t>Море</w:t>
      </w:r>
      <w:r w:rsidR="0071687A">
        <w:rPr>
          <w:rFonts w:ascii="Times New Roman" w:hAnsi="Times New Roman"/>
          <w:sz w:val="28"/>
          <w:szCs w:val="28"/>
        </w:rPr>
        <w:t>н</w:t>
      </w:r>
      <w:r w:rsidR="0071687A">
        <w:rPr>
          <w:rFonts w:ascii="Times New Roman" w:hAnsi="Times New Roman"/>
          <w:sz w:val="28"/>
          <w:szCs w:val="28"/>
        </w:rPr>
        <w:t>ченк</w:t>
      </w:r>
      <w:r w:rsidR="00420184">
        <w:rPr>
          <w:rFonts w:ascii="Times New Roman" w:hAnsi="Times New Roman"/>
          <w:sz w:val="28"/>
          <w:szCs w:val="28"/>
        </w:rPr>
        <w:t>о</w:t>
      </w:r>
      <w:proofErr w:type="spellEnd"/>
    </w:p>
    <w:sectPr w:rsidR="00AF367F" w:rsidSect="00ED266F">
      <w:pgSz w:w="16838" w:h="11906" w:orient="landscape"/>
      <w:pgMar w:top="993" w:right="536" w:bottom="1134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A05CC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3005"/>
    <w:rsid w:val="00276189"/>
    <w:rsid w:val="00281935"/>
    <w:rsid w:val="002A4B04"/>
    <w:rsid w:val="002B2EA0"/>
    <w:rsid w:val="002B4935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20184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0399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43BE3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34B"/>
    <w:rsid w:val="00AC165B"/>
    <w:rsid w:val="00AD59B2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3774"/>
    <w:rsid w:val="00EC492A"/>
    <w:rsid w:val="00ED266F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white">
      <v:fill color="white"/>
    </o:shapedefaults>
    <o:shapelayout v:ext="edit">
      <o:idmap v:ext="edit" data="2"/>
      <o:rules v:ext="edit">
        <o:r id="V:Rule4" type="connector" idref="#Автофигуры 3"/>
        <o:r id="V:Rule5" type="connector" idref="#Автофигуры 2"/>
        <o:r id="V:Rule6" type="connector" idref="#Автофигуры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2019-07-26T08:45:00Z</cp:lastPrinted>
  <dcterms:created xsi:type="dcterms:W3CDTF">2018-12-25T06:41:00Z</dcterms:created>
  <dcterms:modified xsi:type="dcterms:W3CDTF">2019-08-01T10:48:00Z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